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2" w:type="dxa"/>
        <w:tblInd w:w="-1168" w:type="dxa"/>
        <w:tblLook w:val="04A0" w:firstRow="1" w:lastRow="0" w:firstColumn="1" w:lastColumn="0" w:noHBand="0" w:noVBand="1"/>
      </w:tblPr>
      <w:tblGrid>
        <w:gridCol w:w="425"/>
        <w:gridCol w:w="535"/>
        <w:gridCol w:w="537"/>
        <w:gridCol w:w="2785"/>
        <w:gridCol w:w="991"/>
        <w:gridCol w:w="939"/>
        <w:gridCol w:w="167"/>
        <w:gridCol w:w="939"/>
        <w:gridCol w:w="3794"/>
        <w:gridCol w:w="120"/>
      </w:tblGrid>
      <w:tr w:rsidR="003C68D8" w:rsidRPr="005673C2" w:rsidTr="003C68D8">
        <w:trPr>
          <w:gridBefore w:val="1"/>
          <w:gridAfter w:val="1"/>
          <w:wBefore w:w="425" w:type="dxa"/>
          <w:wAfter w:w="175" w:type="dxa"/>
          <w:trHeight w:val="255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5673C2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5673C2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73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3C68D8" w:rsidRPr="005673C2" w:rsidTr="003C68D8">
        <w:trPr>
          <w:gridBefore w:val="1"/>
          <w:gridAfter w:val="1"/>
          <w:wBefore w:w="425" w:type="dxa"/>
          <w:wAfter w:w="175" w:type="dxa"/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5673C2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73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Федеральной службы по тарифам</w:t>
            </w:r>
          </w:p>
        </w:tc>
      </w:tr>
      <w:tr w:rsidR="003C68D8" w:rsidRPr="005673C2" w:rsidTr="003C68D8">
        <w:trPr>
          <w:gridBefore w:val="1"/>
          <w:gridAfter w:val="1"/>
          <w:wBefore w:w="425" w:type="dxa"/>
          <w:wAfter w:w="175" w:type="dxa"/>
          <w:trHeight w:val="255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5673C2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5673C2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73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марта 2011 г. №56-э</w:t>
            </w:r>
          </w:p>
        </w:tc>
      </w:tr>
      <w:tr w:rsidR="003C68D8" w:rsidRPr="005673C2" w:rsidTr="003C68D8">
        <w:trPr>
          <w:gridBefore w:val="1"/>
          <w:gridAfter w:val="1"/>
          <w:wBefore w:w="425" w:type="dxa"/>
          <w:wAfter w:w="175" w:type="dxa"/>
          <w:trHeight w:val="255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5673C2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5673C2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8D8" w:rsidRPr="005673C2" w:rsidTr="003C68D8">
        <w:trPr>
          <w:gridBefore w:val="1"/>
          <w:wBefore w:w="425" w:type="dxa"/>
          <w:trHeight w:val="1155"/>
        </w:trPr>
        <w:tc>
          <w:tcPr>
            <w:tcW w:w="10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D8" w:rsidRDefault="003C68D8" w:rsidP="00F41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7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раскрытия информации о структуре и объемах затрат на оказа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  <w:r w:rsidRPr="00567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ие услуг по передаче электрической энергии ЗАО "Русский хром 1915"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</w:p>
          <w:p w:rsidR="003C68D8" w:rsidRPr="005673C2" w:rsidRDefault="003C68D8" w:rsidP="00F41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68D8" w:rsidRPr="003C68D8" w:rsidTr="003C68D8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8D8" w:rsidRPr="003C68D8" w:rsidTr="003C68D8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Примечание***</w:t>
            </w:r>
          </w:p>
        </w:tc>
      </w:tr>
      <w:tr w:rsidR="003C68D8" w:rsidRPr="003C68D8" w:rsidTr="005A7E4F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план*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факт**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8D8" w:rsidRPr="003C68D8" w:rsidTr="005A7E4F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130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Необходимая валовая выручка на содержание (котловая)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3969,78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9961,26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Фактические расходы значительно выше расходов, заложенных в тариф, т.к. неподконтрольные расходы в плане не были учтены в полном объеме. </w:t>
            </w:r>
          </w:p>
        </w:tc>
      </w:tr>
      <w:tr w:rsidR="003C68D8" w:rsidRPr="003C68D8" w:rsidTr="005A7E4F">
        <w:trPr>
          <w:gridAfter w:val="1"/>
          <w:wAfter w:w="175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Необходимая валовая выручка на содержание (собственная)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Подконтрольные расходы, всего, 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4293,16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F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68D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9089,06</w:t>
            </w:r>
          </w:p>
          <w:p w:rsidR="00D936F8" w:rsidRPr="003C68D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968,83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подконтрольные расходы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3 631,80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8120,23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202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Неподконтрольные расходы, включенные в НВВ, всего,                     в том числе: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872,20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связи с непредставлением в РЭК расчетов и обосновывающих материалов к расчету тарифа за передачу </w:t>
            </w: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нергии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 год, неподконтрольные расходы в плане не были учтены в полном объеме. 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капитальные вложения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226,53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12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(+) / 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7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неподконтрольные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382,09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7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II.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расходы на ремонт, всего (п.1.1.1.1+п.1.1.1.2)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1033,69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2388,06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10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3969,78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D936F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9961,26</w:t>
            </w:r>
            <w:bookmarkStart w:id="0" w:name="_GoBack"/>
            <w:bookmarkEnd w:id="0"/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расходы значительно выше расходов, заложенных в тариф</w:t>
            </w:r>
          </w:p>
        </w:tc>
      </w:tr>
      <w:tr w:rsidR="003C68D8" w:rsidRPr="003C68D8" w:rsidTr="005A7E4F">
        <w:trPr>
          <w:gridAfter w:val="1"/>
          <w:wAfter w:w="175" w:type="dxa"/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68D8" w:rsidRPr="003C68D8" w:rsidTr="005A7E4F">
        <w:trPr>
          <w:gridAfter w:val="1"/>
          <w:wAfter w:w="175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8D8" w:rsidRPr="003C68D8" w:rsidTr="005A7E4F">
        <w:trPr>
          <w:gridAfter w:val="1"/>
          <w:wAfter w:w="175" w:type="dxa"/>
          <w:trHeight w:val="285"/>
        </w:trPr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8D8" w:rsidRPr="003C68D8" w:rsidTr="003C68D8">
        <w:trPr>
          <w:gridAfter w:val="1"/>
          <w:wAfter w:w="175" w:type="dxa"/>
          <w:trHeight w:val="138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 </w:t>
            </w:r>
            <w:proofErr w:type="gram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      </w:r>
            <w:proofErr w:type="gram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электрической энергии, в столбце "план" указываются соответствующие значения. Плановые значения </w:t>
            </w:r>
            <w:proofErr w:type="spellStart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сооставляющих</w:t>
            </w:r>
            <w:proofErr w:type="spellEnd"/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подконтрольных расходов раскрываются в отношении расходов, учтенных регулирующим органом на третий год долгосрочного периода регулирования.</w:t>
            </w:r>
          </w:p>
        </w:tc>
      </w:tr>
      <w:tr w:rsidR="003C68D8" w:rsidRPr="003C68D8" w:rsidTr="003C68D8">
        <w:trPr>
          <w:gridAfter w:val="1"/>
          <w:wAfter w:w="175" w:type="dxa"/>
          <w:trHeight w:val="79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3C68D8" w:rsidRPr="003C68D8" w:rsidTr="003C68D8">
        <w:trPr>
          <w:gridAfter w:val="1"/>
          <w:wAfter w:w="175" w:type="dxa"/>
          <w:trHeight w:val="79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D8" w:rsidRPr="003C68D8" w:rsidRDefault="003C68D8" w:rsidP="003C6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 При наличии отклонений фактических значений показателей от плановых более чем на 15 процентов в столбце "Примечание" указываются причины их возникновения.</w:t>
            </w:r>
          </w:p>
        </w:tc>
      </w:tr>
    </w:tbl>
    <w:p w:rsidR="000161FB" w:rsidRDefault="000161FB"/>
    <w:sectPr w:rsidR="000161FB" w:rsidSect="003C68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3D"/>
    <w:rsid w:val="000161FB"/>
    <w:rsid w:val="003C68D8"/>
    <w:rsid w:val="005A7E4F"/>
    <w:rsid w:val="008B433D"/>
    <w:rsid w:val="00BB3940"/>
    <w:rsid w:val="00D936F8"/>
    <w:rsid w:val="00E64FDA"/>
    <w:rsid w:val="00EB048C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Кодолова Татьяна Анатольевна</dc:creator>
  <cp:keywords/>
  <dc:description/>
  <cp:lastModifiedBy>Кодолова Татьяна Анатольевна</cp:lastModifiedBy>
  <cp:revision>8</cp:revision>
  <cp:lastPrinted>2015-03-17T08:29:00Z</cp:lastPrinted>
  <dcterms:created xsi:type="dcterms:W3CDTF">2015-03-16T08:17:00Z</dcterms:created>
  <dcterms:modified xsi:type="dcterms:W3CDTF">2015-03-17T09:45:00Z</dcterms:modified>
</cp:coreProperties>
</file>