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  <w:bookmarkStart w:id="0" w:name="_GoBack"/>
      <w:bookmarkEnd w:id="0"/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6077A8" w:rsidRPr="008251B9" w:rsidRDefault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1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</w:t>
      </w:r>
      <w:r>
        <w:rPr>
          <w:rFonts w:ascii="Times New Roman" w:hAnsi="Times New Roman" w:cs="Times New Roman"/>
          <w:sz w:val="24"/>
          <w:szCs w:val="24"/>
        </w:rPr>
        <w:t xml:space="preserve">ультате аварийных отключений перерыв в электроснабжении потребителей – </w:t>
      </w: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было, объём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недоотпуска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ч</w:t>
      </w:r>
      <w:proofErr w:type="gram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/квартал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электросетевого объекта организации, на котором произошло технологическое нарушение,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8251B9">
      <w:pPr>
        <w:rPr>
          <w:lang w:val="en-US"/>
        </w:rPr>
      </w:pPr>
      <w:r>
        <w:t xml:space="preserve">                                                                                                                      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объеме недопоставленной в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результате аварийных отключений электрической энергии:</w:t>
      </w:r>
    </w:p>
    <w:p w:rsidR="006077A8" w:rsidRPr="008251B9" w:rsidRDefault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было, объём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недоотпуска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ч</w:t>
      </w:r>
      <w:proofErr w:type="gram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/квартал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Pr="008251B9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3 квартал   201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8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Pr="008251B9" w:rsidRDefault="008251B9" w:rsidP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объеме недопоставленной в результате аварийных отключений электрической </w:t>
      </w:r>
      <w:r>
        <w:rPr>
          <w:rFonts w:ascii="Times New Roman" w:hAnsi="Times New Roman" w:cs="Times New Roman"/>
          <w:b/>
          <w:bCs/>
          <w:sz w:val="24"/>
          <w:szCs w:val="24"/>
        </w:rPr>
        <w:t>энергии:</w:t>
      </w:r>
    </w:p>
    <w:p w:rsidR="008251B9" w:rsidRDefault="008251B9" w:rsidP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За 3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было, объём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недоотпуска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электроэнергии составил 0 кВт*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ч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/квартал</w:t>
      </w:r>
    </w:p>
    <w:p w:rsidR="006077A8" w:rsidRDefault="006077A8">
      <w:pPr>
        <w:pStyle w:val="a8"/>
        <w:spacing w:line="240" w:lineRule="auto"/>
      </w:pP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r>
        <w:rPr>
          <w:rFonts w:ascii="Times New Roman" w:hAnsi="Times New Roman" w:cs="Times New Roman"/>
          <w:b/>
          <w:bCs/>
          <w:sz w:val="32"/>
          <w:szCs w:val="32"/>
        </w:rPr>
        <w:t>квартал   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6077A8" w:rsidRDefault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За 4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точек присоединения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Раскрытие информации сетевой организацией ПАО «Ключевский завод ферросплавов» в соответствии со Стандартом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251B9" w:rsidRDefault="008251B9">
      <w:pPr>
        <w:pStyle w:val="a8"/>
        <w:spacing w:line="240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 w:rsidRPr="008251B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отсутствует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наличии объёма свободной для технологического присоединения потребителей трансформаторной мощности с ука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Default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отсутствует</w:t>
      </w:r>
    </w:p>
    <w:p w:rsidR="006077A8" w:rsidRPr="008251B9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>3 квартал   201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>8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>п.11 ПП РФ от 21.01.2004 г</w:t>
      </w:r>
      <w:r>
        <w:rPr>
          <w:rFonts w:ascii="Times New Roman" w:hAnsi="Times New Roman" w:cs="Times New Roman"/>
          <w:sz w:val="24"/>
          <w:szCs w:val="24"/>
        </w:rPr>
        <w:t xml:space="preserve">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251B9" w:rsidRDefault="008251B9" w:rsidP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отсутствует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4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Default="008251B9">
      <w:pPr>
        <w:pStyle w:val="a8"/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</w:p>
    <w:p w:rsidR="006077A8" w:rsidRDefault="006077A8"/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</w:t>
      </w:r>
      <w:r>
        <w:rPr>
          <w:rFonts w:ascii="Times New Roman" w:hAnsi="Times New Roman" w:cs="Times New Roman"/>
          <w:b/>
          <w:bCs/>
          <w:sz w:val="24"/>
          <w:szCs w:val="24"/>
        </w:rPr>
        <w:t>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</w:t>
      </w:r>
      <w:r>
        <w:rPr>
          <w:rFonts w:ascii="Times New Roman" w:hAnsi="Times New Roman" w:cs="Times New Roman"/>
          <w:b/>
          <w:bCs/>
          <w:sz w:val="24"/>
          <w:szCs w:val="24"/>
        </w:rPr>
        <w:t>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Default="008251B9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 № 13 возможно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подключение в пределах по мощности до 0,1 МВт, с уровнем напряжения 0,4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7A8" w:rsidRDefault="00825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3)   ЗРУ – 6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возможно подключение в пределах по мощности до 0,5 МВт, с уровнем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напряжения 6,0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Pr="008251B9" w:rsidRDefault="008251B9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auto"/>
        </w:rPr>
      </w:pP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ТП № 13 возможно подключение в пределах по мощности д</w:t>
      </w: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0,1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Pr="008251B9" w:rsidRDefault="008251B9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auto"/>
        </w:rPr>
      </w:pP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Pr="008251B9" w:rsidRDefault="008251B9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3)   ЗРУ – 6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8251B9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>3 квартал   201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>8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</w:t>
      </w:r>
      <w:r>
        <w:rPr>
          <w:rFonts w:ascii="Times New Roman" w:hAnsi="Times New Roman" w:cs="Times New Roman"/>
          <w:b/>
          <w:bCs/>
          <w:sz w:val="24"/>
          <w:szCs w:val="24"/>
        </w:rPr>
        <w:t>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8251B9" w:rsidRPr="008251B9" w:rsidRDefault="008251B9" w:rsidP="008251B9">
      <w:pPr>
        <w:numPr>
          <w:ilvl w:val="0"/>
          <w:numId w:val="4"/>
        </w:numPr>
        <w:suppressAutoHyphens/>
        <w:spacing w:after="0" w:line="240" w:lineRule="auto"/>
        <w:jc w:val="both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ТП № 13 возможно подключение в пределах по мощности до 0,1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8251B9" w:rsidRPr="008251B9" w:rsidRDefault="008251B9" w:rsidP="008251B9">
      <w:pPr>
        <w:numPr>
          <w:ilvl w:val="0"/>
          <w:numId w:val="4"/>
        </w:numPr>
        <w:suppressAutoHyphens/>
        <w:spacing w:after="0" w:line="240" w:lineRule="auto"/>
        <w:jc w:val="both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8251B9" w:rsidRPr="008251B9" w:rsidRDefault="008251B9" w:rsidP="008251B9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3)   ЗРУ – 6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825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6077A8" w:rsidRDefault="006077A8"/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4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</w:t>
      </w:r>
      <w:r>
        <w:rPr>
          <w:rFonts w:ascii="Times New Roman" w:hAnsi="Times New Roman" w:cs="Times New Roman"/>
          <w:b/>
          <w:bCs/>
          <w:sz w:val="24"/>
          <w:szCs w:val="24"/>
        </w:rPr>
        <w:t>подключения к подстанциям принадлежащих на праве собственности предприятию с указанием точек подключения:</w:t>
      </w:r>
    </w:p>
    <w:p w:rsidR="006077A8" w:rsidRDefault="006077A8"/>
    <w:p w:rsidR="006077A8" w:rsidRDefault="006077A8"/>
    <w:p w:rsidR="006077A8" w:rsidRDefault="006077A8"/>
    <w:p w:rsidR="006077A8" w:rsidRDefault="006077A8"/>
    <w:p w:rsidR="006077A8" w:rsidRDefault="006077A8"/>
    <w:p w:rsidR="006077A8" w:rsidRDefault="006077A8"/>
    <w:p w:rsidR="006077A8" w:rsidRDefault="006077A8"/>
    <w:p w:rsidR="006077A8" w:rsidRDefault="006077A8"/>
    <w:p w:rsidR="006077A8" w:rsidRDefault="006077A8"/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квартал   201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4.(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О порядке выполнения технологических, технических и других мероприятий, связанных с технологическим присоединением к электрическим сетям:</w:t>
      </w:r>
    </w:p>
    <w:tbl>
      <w:tblPr>
        <w:tblW w:w="1566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60"/>
      </w:tblGrid>
      <w:tr w:rsidR="006077A8">
        <w:trPr>
          <w:trHeight w:val="2160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Прием и регистрация заявки  потребителя, регистрация контактной информации потребителя, проверка корректности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оформления заявки на технологическое присоединение к электрическим сетям, проверка полноты сведений и комплектности прилагаемых документов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В заявке, направляемой заявителем, должны быть указаны следующие сведения: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а)   реквизиты заявителя (для юридичес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693"/>
            <w:bookmarkEnd w:id="1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  наименование и место нахождения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необходимо пр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исоединить к электрическим сетям сетевой организации;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694"/>
            <w:bookmarkEnd w:id="2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в)   место нахождения заявителя;</w:t>
            </w:r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г)   сроки проектирования и поэтапного введение в эксплуатацию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(в том числе по этапам и очередям)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)   запрашиваемая максимальная мощность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заявителя;е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)  характер нагрузки (вид экономической деятельности);ж)  предложения по порядку расчетов и условиям рассрочки платежа за технологическое присоединение ;з)  наименование организации - субъекта розничного рынка, с кото</w:t>
            </w:r>
            <w:r>
              <w:rPr>
                <w:rFonts w:ascii="Times New Roman" w:hAnsi="Times New Roman" w:cs="Times New Roman"/>
                <w:color w:val="FF0000"/>
              </w:rPr>
              <w:t xml:space="preserve">рым заявитель намеревается заключить договор, обеспечивающий продажу электрической энергии (мощности) на розничном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рынке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К заявке прилагаются следующие документы: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а) план расположения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необходимо присоединить к электрическим сетям сетевой организации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перечень и мощность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могут быть присоединены к устройствам противоаварийной автоматики;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в) ко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пия документа, подтверждающего право собственности или иное предусмотренное законом основание на объект капитального строительства и (или) земельный участок, на котором расположены (будут располагаться) объекты заявителя, либо право собственности или иное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предусмотренное законом основание на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устройства;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г) 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заявителя;</w:t>
            </w:r>
          </w:p>
          <w:p w:rsidR="006077A8" w:rsidRDefault="006077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77A8">
        <w:trPr>
          <w:trHeight w:val="2640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ПАО «Ключевский завод ферросплавов»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договору.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Договор должен содержать следующие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существенные условия: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823"/>
            <w:bookmarkEnd w:id="3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срок осуществления мероприятий по технологическому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присоединению, который исчисляется со дня заключения договора;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в) положение об ответственности сторон за несоблюдение установленных договором и  Правилами сроков исполнения своих обязательств, в том числе: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право заявителя в одностороннем порядке расторг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нуть договор при нарушении сетевой организацией сроков технологического присоединения, указанных в договоре;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обязанность одной из сторон договора при нарушении ею сроков осуществления мероприятий по технологическому присоединению уплатить другой стороне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оединение по договору за каждый день просрочки;</w:t>
            </w:r>
            <w:proofErr w:type="gramEnd"/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г) порядок разграничения балансовой принадлежности электрических сетей и эксплуатационной ответственности сторон;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д) размер платы за технологическое присоединение, определяемый в соответствии с законодательст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вом Российской Федерации в сфере электроэнергетики;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е) порядок и сроки внесения заявителем платы за технологическое присоединение;</w:t>
            </w:r>
          </w:p>
          <w:p w:rsidR="006077A8" w:rsidRDefault="006077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Заявитель подписывает оба экземпляра проекта договора и направляет один экземпляр в ПАО «Ключевский завод ферросплавов» с пр</w:t>
            </w:r>
            <w:r>
              <w:rPr>
                <w:rFonts w:ascii="Times New Roman" w:hAnsi="Times New Roman" w:cs="Times New Roman"/>
                <w:color w:val="FF0000"/>
              </w:rPr>
              <w:t xml:space="preserve">иложением к нему документов, подтверждающих полномочия лица, подписавшего такой договор. Договор считается заключенным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с даты поступления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подписанного заявителем экземпляра договора в ПАО «Ключевский завод ферросплавов».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В случае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ненаправления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заявител</w:t>
            </w:r>
            <w:r>
              <w:rPr>
                <w:rFonts w:ascii="Times New Roman" w:hAnsi="Times New Roman" w:cs="Times New Roman"/>
                <w:color w:val="FF0000"/>
              </w:rPr>
              <w:t>ем подписанного проекта договора, либо мотивированного отказа от его подписания, но не ранее, чем через 60 дней со дня получения заявителем подписанного ПАО «Ключевский завод ферросплавов» проекта договора и технических условий, поданная этим заявителем за</w:t>
            </w:r>
            <w:r>
              <w:rPr>
                <w:rFonts w:ascii="Times New Roman" w:hAnsi="Times New Roman" w:cs="Times New Roman"/>
                <w:color w:val="FF0000"/>
              </w:rPr>
              <w:t xml:space="preserve">явка аннулируется.      </w:t>
            </w:r>
          </w:p>
        </w:tc>
      </w:tr>
      <w:tr w:rsidR="006077A8">
        <w:trPr>
          <w:trHeight w:val="717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 Подготовка, выдача ПАО «Ключевский завод ферросплавов» технических условий;</w:t>
            </w:r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2.  Разработка заявителем проектной документации в границах его земельного участка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согласно обязательствам, предусмотренным техническими условиями;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 xml:space="preserve">. Выполнение технических условий заявителем и ПАО «Ключевский завод ферросплавов», включая осуществление ПАО «Ключевский завод ферросплавов» мероприятий по подключению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под действие аппаратуры противоаварийной и режимной автомати</w:t>
            </w:r>
            <w:r>
              <w:rPr>
                <w:rFonts w:ascii="Times New Roman" w:hAnsi="Times New Roman" w:cs="Times New Roman"/>
                <w:color w:val="FF0000"/>
              </w:rPr>
              <w:t xml:space="preserve">ки в соответствии с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техническими условиями;</w:t>
            </w:r>
          </w:p>
        </w:tc>
      </w:tr>
      <w:tr w:rsidR="006077A8">
        <w:trPr>
          <w:trHeight w:val="2506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 xml:space="preserve">1. Проверка выполнения заявителем технических условий,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допуска прибора учета к эксплуатации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;</w:t>
            </w:r>
            <w:proofErr w:type="gramEnd"/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  Осмотр (обследование) присоединяемых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должностными лицами ПАО «Ключевский завод ферросплавов» при участии собственника таких устройств, с выдачей заявителю акта осмотра (обследования) эл</w:t>
            </w:r>
            <w:r>
              <w:rPr>
                <w:rFonts w:ascii="Times New Roman" w:hAnsi="Times New Roman" w:cs="Times New Roman"/>
                <w:color w:val="FF0000"/>
              </w:rPr>
              <w:t>ектроустановки установленной формы;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При невыполнении заявителем технических условий в согласованный срок и наличии на дату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ПАО «Ключевский завод ферросплавов» по обращению </w:t>
            </w:r>
            <w:r>
              <w:rPr>
                <w:rFonts w:ascii="Times New Roman" w:hAnsi="Times New Roman" w:cs="Times New Roman"/>
                <w:color w:val="FF0000"/>
              </w:rPr>
              <w:t>заявителя вправе продлить срок действия ранее выданных технических условий. При этом дополнительная плата не взимается.</w:t>
            </w:r>
          </w:p>
        </w:tc>
      </w:tr>
    </w:tbl>
    <w:p w:rsidR="006077A8" w:rsidRDefault="006077A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77A8" w:rsidRDefault="008251B9">
      <w:pPr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Раскрытие информации сетевой организацией ПАО «Ключевский завод ферросплавов» в соответствии со Стандартом раскрытия информации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1 квартал   201</w:t>
      </w:r>
      <w:r w:rsidRPr="008251B9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8251B9" w:rsidRDefault="008251B9">
            <w:pPr>
              <w:spacing w:after="0" w:line="240" w:lineRule="auto"/>
              <w:jc w:val="center"/>
              <w:rPr>
                <w:color w:val="auto"/>
              </w:rPr>
            </w:pPr>
            <w:r w:rsidRPr="00825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8251B9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3 квартал  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201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8</w:t>
      </w:r>
      <w:r w:rsidRP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251B9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8251B9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 w:rsidP="00DB71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 w:rsidP="00DB71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 w:rsidP="00DB71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 w:rsidP="00DB71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1B9" w:rsidRDefault="008251B9" w:rsidP="00DB71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</w:t>
            </w:r>
          </w:p>
        </w:tc>
      </w:tr>
      <w:tr w:rsidR="006077A8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 w:rsidTr="008251B9"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4 квартал   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2076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/>
    <w:sectPr w:rsidR="006077A8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00"/>
    <w:multiLevelType w:val="multilevel"/>
    <w:tmpl w:val="2D128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23355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007A9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EF56E0"/>
    <w:multiLevelType w:val="multilevel"/>
    <w:tmpl w:val="25D6E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7A8"/>
    <w:rsid w:val="006077A8"/>
    <w:rsid w:val="008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32"/>
    <w:pPr>
      <w:spacing w:after="200" w:line="276" w:lineRule="auto"/>
    </w:pPr>
    <w:rPr>
      <w:rFonts w:cs="Calibri"/>
      <w:color w:val="00000A"/>
      <w:sz w:val="22"/>
    </w:rPr>
  </w:style>
  <w:style w:type="paragraph" w:styleId="3">
    <w:name w:val="heading 3"/>
    <w:basedOn w:val="a"/>
    <w:link w:val="30"/>
    <w:uiPriority w:val="99"/>
    <w:qFormat/>
    <w:locked/>
    <w:rsid w:val="00C47FA5"/>
    <w:pPr>
      <w:spacing w:beforeAutospacing="1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6E6CF6"/>
    <w:rPr>
      <w:rFonts w:ascii="Cambria" w:hAnsi="Cambria" w:cs="Cambria"/>
      <w:b/>
      <w:bCs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C00D33"/>
    <w:pPr>
      <w:ind w:left="720"/>
    </w:pPr>
    <w:rPr>
      <w:lang w:eastAsia="en-US"/>
    </w:rPr>
  </w:style>
  <w:style w:type="paragraph" w:styleId="a9">
    <w:name w:val="Normal (Web)"/>
    <w:basedOn w:val="a"/>
    <w:uiPriority w:val="99"/>
    <w:qFormat/>
    <w:rsid w:val="00C47FA5"/>
    <w:pPr>
      <w:spacing w:beforeAutospacing="1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qFormat/>
    <w:rsid w:val="000817F5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0817F5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2467</Words>
  <Characters>14064</Characters>
  <Application>Microsoft Office Word</Application>
  <DocSecurity>0</DocSecurity>
  <Lines>117</Lines>
  <Paragraphs>32</Paragraphs>
  <ScaleCrop>false</ScaleCrop>
  <Company>MultiDVD Team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информации сетевой организацией ОАО «ХЗ «Планта» в соответствии со Стандартом раскрытия информации сетевой организацией, утвержденным Постановлением Правительства РФ от 21 января 2004 г</dc:title>
  <dc:subject/>
  <dc:creator>Людмила М. Зильбер</dc:creator>
  <dc:description/>
  <cp:lastModifiedBy>Сергей Ю. Ничков</cp:lastModifiedBy>
  <cp:revision>16</cp:revision>
  <dcterms:created xsi:type="dcterms:W3CDTF">2016-05-12T06:07:00Z</dcterms:created>
  <dcterms:modified xsi:type="dcterms:W3CDTF">2018-10-08T08:54:00Z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